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F2" w:rsidRDefault="004E6DF2">
      <w:pPr>
        <w:jc w:val="left"/>
        <w:rPr>
          <w:rFonts w:ascii="黑体" w:eastAsia="黑体" w:hAnsi="黑体" w:cs="黑体"/>
          <w:sz w:val="32"/>
          <w:szCs w:val="32"/>
        </w:rPr>
      </w:pPr>
      <w:bookmarkStart w:id="0" w:name="_Toc121127413"/>
      <w:r>
        <w:rPr>
          <w:rFonts w:ascii="黑体" w:eastAsia="黑体" w:hAnsi="黑体" w:cs="黑体" w:hint="eastAsia"/>
          <w:sz w:val="32"/>
          <w:szCs w:val="32"/>
        </w:rPr>
        <w:t>附件2</w:t>
      </w:r>
    </w:p>
    <w:p w:rsidR="004E6DF2" w:rsidRDefault="004E6DF2" w:rsidP="009263D3">
      <w:pPr>
        <w:tabs>
          <w:tab w:val="right" w:leader="middleDot" w:pos="8715"/>
        </w:tabs>
        <w:adjustRightInd w:val="0"/>
        <w:snapToGrid w:val="0"/>
        <w:spacing w:beforeLines="30"/>
        <w:jc w:val="center"/>
        <w:rPr>
          <w:rFonts w:eastAsia="仿宋"/>
          <w:b/>
          <w:sz w:val="32"/>
          <w:szCs w:val="32"/>
        </w:rPr>
      </w:pPr>
    </w:p>
    <w:p w:rsidR="004E6DF2" w:rsidRDefault="004E6DF2" w:rsidP="009263D3">
      <w:pPr>
        <w:tabs>
          <w:tab w:val="right" w:leader="middleDot" w:pos="8715"/>
        </w:tabs>
        <w:adjustRightInd w:val="0"/>
        <w:snapToGrid w:val="0"/>
        <w:spacing w:beforeLines="30"/>
        <w:jc w:val="center"/>
        <w:rPr>
          <w:rFonts w:ascii="黑体" w:eastAsia="黑体" w:hAnsi="黑体" w:cs="黑体"/>
          <w:bCs/>
          <w:sz w:val="36"/>
          <w:szCs w:val="36"/>
        </w:rPr>
      </w:pPr>
      <w:r>
        <w:rPr>
          <w:rFonts w:ascii="黑体" w:eastAsia="黑体" w:hAnsi="黑体" w:cs="黑体" w:hint="eastAsia"/>
          <w:bCs/>
          <w:sz w:val="36"/>
          <w:szCs w:val="36"/>
        </w:rPr>
        <w:t>大型灌区续建配套与节水改造建设项目实施效果评估</w:t>
      </w:r>
    </w:p>
    <w:p w:rsidR="004E6DF2" w:rsidRDefault="004E6DF2" w:rsidP="009263D3">
      <w:pPr>
        <w:tabs>
          <w:tab w:val="right" w:leader="middleDot" w:pos="8715"/>
        </w:tabs>
        <w:adjustRightInd w:val="0"/>
        <w:snapToGrid w:val="0"/>
        <w:spacing w:beforeLines="30"/>
        <w:jc w:val="center"/>
        <w:rPr>
          <w:rFonts w:ascii="黑体" w:eastAsia="黑体" w:hAnsi="黑体" w:cs="黑体"/>
          <w:bCs/>
          <w:sz w:val="36"/>
          <w:szCs w:val="36"/>
        </w:rPr>
      </w:pPr>
      <w:r>
        <w:rPr>
          <w:rFonts w:ascii="黑体" w:eastAsia="黑体" w:hAnsi="黑体" w:cs="黑体" w:hint="eastAsia"/>
          <w:bCs/>
          <w:sz w:val="36"/>
          <w:szCs w:val="36"/>
        </w:rPr>
        <w:t>（自评估）报告编制提纲</w:t>
      </w:r>
    </w:p>
    <w:p w:rsidR="004E6DF2" w:rsidRDefault="004E6DF2">
      <w:pPr>
        <w:tabs>
          <w:tab w:val="right" w:leader="middleDot" w:pos="8715"/>
        </w:tabs>
        <w:adjustRightInd w:val="0"/>
        <w:snapToGrid w:val="0"/>
        <w:spacing w:line="360" w:lineRule="auto"/>
        <w:ind w:firstLine="23"/>
        <w:jc w:val="center"/>
        <w:rPr>
          <w:rFonts w:eastAsia="仿宋"/>
          <w:bCs/>
          <w:sz w:val="32"/>
          <w:szCs w:val="32"/>
        </w:rPr>
      </w:pPr>
    </w:p>
    <w:p w:rsidR="004E6DF2" w:rsidRDefault="004E6DF2">
      <w:pPr>
        <w:adjustRightInd w:val="0"/>
        <w:snapToGrid w:val="0"/>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一、概述</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b/>
          <w:sz w:val="32"/>
          <w:szCs w:val="32"/>
        </w:rPr>
      </w:pPr>
      <w:r w:rsidRPr="009263D3">
        <w:rPr>
          <w:rFonts w:ascii="楷体" w:eastAsia="楷体" w:hAnsi="楷体" w:cs="黑体" w:hint="eastAsia"/>
          <w:sz w:val="32"/>
          <w:szCs w:val="32"/>
        </w:rPr>
        <w:t>（一）灌区基本情况</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概述灌区基本情况。内容包括灌区规模、地理位置、所属流域、水资源开发利用状况、社会经济状况（</w:t>
      </w:r>
      <w:r>
        <w:rPr>
          <w:rFonts w:eastAsia="仿宋"/>
          <w:kern w:val="0"/>
          <w:sz w:val="32"/>
          <w:szCs w:val="32"/>
        </w:rPr>
        <w:t>GDP</w:t>
      </w:r>
      <w:r>
        <w:rPr>
          <w:rFonts w:eastAsia="仿宋"/>
          <w:kern w:val="0"/>
          <w:sz w:val="32"/>
          <w:szCs w:val="32"/>
        </w:rPr>
        <w:t>、粮食产量、农业产值等）、耕地面积、灌溉面积、实灌面积、种植结构、复种指数、水资源状况；灌区功能、灌区（供）用水量（包括灌溉用水量、工业及生活用水量）；分别说明骨干工程和田间工程状况，包括水源工程状况、渠（沟）道长度、防渗长度百分比、排水沟长度、建筑物座数，渠（沟）道及建筑物完好率、配套率等内容。</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hint="eastAsia"/>
          <w:sz w:val="32"/>
          <w:szCs w:val="32"/>
        </w:rPr>
        <w:t>（二）规划目标和建设任务</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说明灌区续建配套与节水改造规划任务目标等。</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规划建设任务：主要包括灌区续改建渠首工程、泵站、渠道、排水沟、渠系建筑物、管理设施等内容的数量或长度等。</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规划投资：主要包括灌区续改建规划总投资，其中：骨干工程和田间工程投资规模等。</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lastRenderedPageBreak/>
        <w:t>规划效益目标：主要包括规划新增及改善灌溉面积、设计灌溉保证率、灌溉水利用系数、新增供水能力、节水量、粮食产量等效益指标</w:t>
      </w:r>
      <w:r>
        <w:rPr>
          <w:rFonts w:eastAsia="仿宋" w:hint="eastAsia"/>
          <w:kern w:val="0"/>
          <w:sz w:val="32"/>
          <w:szCs w:val="32"/>
        </w:rPr>
        <w:t>。</w:t>
      </w:r>
    </w:p>
    <w:p w:rsidR="004E6DF2" w:rsidRDefault="004E6DF2">
      <w:pPr>
        <w:adjustRightInd w:val="0"/>
        <w:snapToGrid w:val="0"/>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二、自评估工作过程</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hint="eastAsia"/>
          <w:sz w:val="32"/>
          <w:szCs w:val="32"/>
        </w:rPr>
        <w:t>（一）评估依据</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列出灌区自评估的主要依据。包括：</w:t>
      </w:r>
    </w:p>
    <w:p w:rsidR="004E6DF2" w:rsidRDefault="004E6DF2">
      <w:pPr>
        <w:adjustRightInd w:val="0"/>
        <w:snapToGrid w:val="0"/>
        <w:spacing w:line="360" w:lineRule="auto"/>
        <w:ind w:firstLineChars="200" w:firstLine="640"/>
        <w:rPr>
          <w:rFonts w:eastAsia="仿宋"/>
          <w:kern w:val="0"/>
          <w:sz w:val="32"/>
          <w:szCs w:val="32"/>
        </w:rPr>
      </w:pPr>
      <w:r>
        <w:rPr>
          <w:rFonts w:eastAsia="仿宋" w:hint="eastAsia"/>
          <w:kern w:val="0"/>
          <w:sz w:val="32"/>
          <w:szCs w:val="32"/>
        </w:rPr>
        <w:t>1.</w:t>
      </w:r>
      <w:r>
        <w:rPr>
          <w:rFonts w:eastAsia="仿宋"/>
          <w:kern w:val="0"/>
          <w:sz w:val="32"/>
          <w:szCs w:val="32"/>
        </w:rPr>
        <w:t>国家现行的有关方针政策、法律、规章及主管部门的有关文件，地方出台的办法与规章等</w:t>
      </w:r>
      <w:r>
        <w:rPr>
          <w:rFonts w:eastAsia="仿宋" w:hint="eastAsia"/>
          <w:kern w:val="0"/>
          <w:sz w:val="32"/>
          <w:szCs w:val="32"/>
        </w:rPr>
        <w:t>。</w:t>
      </w:r>
    </w:p>
    <w:p w:rsidR="004E6DF2" w:rsidRDefault="004E6DF2">
      <w:pPr>
        <w:adjustRightInd w:val="0"/>
        <w:snapToGrid w:val="0"/>
        <w:spacing w:line="360" w:lineRule="auto"/>
        <w:ind w:firstLineChars="200" w:firstLine="640"/>
        <w:rPr>
          <w:rFonts w:eastAsia="仿宋"/>
          <w:kern w:val="0"/>
          <w:sz w:val="32"/>
          <w:szCs w:val="32"/>
        </w:rPr>
      </w:pPr>
      <w:r>
        <w:rPr>
          <w:rFonts w:eastAsia="仿宋" w:hint="eastAsia"/>
          <w:kern w:val="0"/>
          <w:sz w:val="32"/>
          <w:szCs w:val="32"/>
        </w:rPr>
        <w:t>2.</w:t>
      </w:r>
      <w:r>
        <w:rPr>
          <w:rFonts w:eastAsia="仿宋"/>
          <w:kern w:val="0"/>
          <w:sz w:val="32"/>
          <w:szCs w:val="32"/>
        </w:rPr>
        <w:t>有关技术规程规范</w:t>
      </w:r>
      <w:r>
        <w:rPr>
          <w:rFonts w:eastAsia="仿宋" w:hint="eastAsia"/>
          <w:kern w:val="0"/>
          <w:sz w:val="32"/>
          <w:szCs w:val="32"/>
        </w:rPr>
        <w:t>。</w:t>
      </w:r>
    </w:p>
    <w:p w:rsidR="004E6DF2" w:rsidRDefault="004E6DF2">
      <w:pPr>
        <w:adjustRightInd w:val="0"/>
        <w:snapToGrid w:val="0"/>
        <w:spacing w:line="360" w:lineRule="auto"/>
        <w:ind w:firstLineChars="200" w:firstLine="640"/>
        <w:rPr>
          <w:rFonts w:eastAsia="仿宋"/>
          <w:b/>
          <w:kern w:val="0"/>
          <w:sz w:val="32"/>
          <w:szCs w:val="32"/>
        </w:rPr>
      </w:pPr>
      <w:r>
        <w:rPr>
          <w:rFonts w:eastAsia="仿宋" w:hint="eastAsia"/>
          <w:kern w:val="0"/>
          <w:sz w:val="32"/>
          <w:szCs w:val="32"/>
        </w:rPr>
        <w:t>3.</w:t>
      </w:r>
      <w:r>
        <w:rPr>
          <w:rFonts w:eastAsia="仿宋"/>
          <w:kern w:val="0"/>
          <w:sz w:val="32"/>
          <w:szCs w:val="32"/>
        </w:rPr>
        <w:t>该灌区在规划、设计和建设过程中形成的文件资料等。</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hint="eastAsia"/>
          <w:sz w:val="32"/>
          <w:szCs w:val="32"/>
        </w:rPr>
        <w:t>（二）评估的组织</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简述灌区自评估工作的组织形式、自评估承担单位等。</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hint="eastAsia"/>
          <w:sz w:val="32"/>
          <w:szCs w:val="32"/>
        </w:rPr>
        <w:t>（三）主要工作过程</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简述灌区自评估工作主要过程，包括资料收集分析、现场调查、座谈、分析总结等工作环节。</w:t>
      </w:r>
    </w:p>
    <w:p w:rsidR="004E6DF2" w:rsidRDefault="004E6DF2">
      <w:pPr>
        <w:adjustRightInd w:val="0"/>
        <w:snapToGrid w:val="0"/>
        <w:spacing w:line="360" w:lineRule="auto"/>
        <w:ind w:firstLineChars="200" w:firstLine="640"/>
        <w:rPr>
          <w:rFonts w:ascii="黑体" w:eastAsia="黑体" w:hAnsi="黑体" w:cs="黑体"/>
          <w:bCs/>
          <w:sz w:val="32"/>
          <w:szCs w:val="32"/>
        </w:rPr>
      </w:pPr>
      <w:r>
        <w:rPr>
          <w:rFonts w:ascii="黑体" w:eastAsia="黑体" w:hAnsi="黑体" w:cs="黑体"/>
          <w:bCs/>
          <w:sz w:val="32"/>
          <w:szCs w:val="32"/>
        </w:rPr>
        <w:t>三、过程评估</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hint="eastAsia"/>
          <w:sz w:val="32"/>
          <w:szCs w:val="32"/>
        </w:rPr>
        <w:t>（一）前期工作</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简要说明项目可研、实施方案批复情况，是否符合《大型灌区续建配套与节水改造项目建设管理办法》（以下简称《管理办法》）等相关规定。</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比较项目实施方案与规划在工程建设任务与规模、工程</w:t>
      </w:r>
      <w:r>
        <w:rPr>
          <w:rFonts w:eastAsia="仿宋"/>
          <w:kern w:val="0"/>
          <w:sz w:val="32"/>
          <w:szCs w:val="32"/>
        </w:rPr>
        <w:lastRenderedPageBreak/>
        <w:t>技术方案、主要建筑物结构</w:t>
      </w:r>
      <w:r>
        <w:rPr>
          <w:rFonts w:eastAsia="仿宋" w:hint="eastAsia"/>
          <w:kern w:val="0"/>
          <w:sz w:val="32"/>
          <w:szCs w:val="32"/>
        </w:rPr>
        <w:t>形</w:t>
      </w:r>
      <w:r>
        <w:rPr>
          <w:rFonts w:eastAsia="仿宋"/>
          <w:kern w:val="0"/>
          <w:sz w:val="32"/>
          <w:szCs w:val="32"/>
        </w:rPr>
        <w:t>式、投资等方面的吻合程度。如续改建内容发生较大调整或变化，应说明原因；同时根据已建成工程运行使用情况，评估前期各阶段的工作深度、质量是否满足规划设计要求等。</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分析说明灌区续改建项目规划报告、可研报告及年度实施方案编制单位及资质等情况。</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hint="eastAsia"/>
          <w:sz w:val="32"/>
          <w:szCs w:val="32"/>
        </w:rPr>
        <w:t>（二）建设管理</w:t>
      </w:r>
    </w:p>
    <w:p w:rsidR="004E6DF2" w:rsidRDefault="004E6DF2">
      <w:pPr>
        <w:adjustRightInd w:val="0"/>
        <w:snapToGrid w:val="0"/>
        <w:spacing w:line="360" w:lineRule="auto"/>
        <w:ind w:firstLineChars="200" w:firstLine="640"/>
        <w:rPr>
          <w:rFonts w:eastAsia="仿宋"/>
          <w:kern w:val="0"/>
          <w:sz w:val="32"/>
          <w:szCs w:val="32"/>
        </w:rPr>
      </w:pPr>
      <w:r>
        <w:rPr>
          <w:rFonts w:eastAsia="仿宋" w:hint="eastAsia"/>
          <w:kern w:val="0"/>
          <w:sz w:val="32"/>
          <w:szCs w:val="32"/>
        </w:rPr>
        <w:t>1.</w:t>
      </w:r>
      <w:r>
        <w:rPr>
          <w:rFonts w:ascii="仿宋" w:eastAsia="仿宋" w:hAnsi="仿宋" w:cs="仿宋" w:hint="eastAsia"/>
          <w:kern w:val="0"/>
          <w:sz w:val="32"/>
          <w:szCs w:val="32"/>
        </w:rPr>
        <w:t>“四制”</w:t>
      </w:r>
      <w:r>
        <w:rPr>
          <w:rFonts w:eastAsia="仿宋"/>
          <w:kern w:val="0"/>
          <w:sz w:val="32"/>
          <w:szCs w:val="32"/>
        </w:rPr>
        <w:t>执行与资金管理</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说明项目法人、招投标、工程监理、合同制的执行情况和效果，以及工程质量控制、资金使用与管理等情况。</w:t>
      </w:r>
    </w:p>
    <w:p w:rsidR="004E6DF2" w:rsidRDefault="004E6DF2" w:rsidP="009A1A68">
      <w:pPr>
        <w:adjustRightInd w:val="0"/>
        <w:snapToGrid w:val="0"/>
        <w:spacing w:line="360" w:lineRule="auto"/>
        <w:ind w:firstLineChars="200" w:firstLine="640"/>
        <w:outlineLvl w:val="0"/>
        <w:rPr>
          <w:rFonts w:eastAsia="仿宋"/>
          <w:kern w:val="0"/>
          <w:sz w:val="32"/>
          <w:szCs w:val="32"/>
        </w:rPr>
      </w:pPr>
      <w:r>
        <w:rPr>
          <w:rFonts w:eastAsia="仿宋" w:hint="eastAsia"/>
          <w:kern w:val="0"/>
          <w:sz w:val="32"/>
          <w:szCs w:val="32"/>
        </w:rPr>
        <w:t>2.</w:t>
      </w:r>
      <w:r>
        <w:rPr>
          <w:rFonts w:eastAsia="仿宋"/>
          <w:kern w:val="0"/>
          <w:sz w:val="32"/>
          <w:szCs w:val="32"/>
        </w:rPr>
        <w:t>稽</w:t>
      </w:r>
      <w:r>
        <w:rPr>
          <w:rFonts w:eastAsia="仿宋" w:hint="eastAsia"/>
          <w:kern w:val="0"/>
          <w:sz w:val="32"/>
          <w:szCs w:val="32"/>
        </w:rPr>
        <w:t>察</w:t>
      </w:r>
      <w:r>
        <w:rPr>
          <w:rFonts w:eastAsia="仿宋"/>
          <w:kern w:val="0"/>
          <w:sz w:val="32"/>
          <w:szCs w:val="32"/>
        </w:rPr>
        <w:t>审计及整改情况</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说明灌区在稽</w:t>
      </w:r>
      <w:r>
        <w:rPr>
          <w:rFonts w:eastAsia="仿宋" w:hint="eastAsia"/>
          <w:kern w:val="0"/>
          <w:sz w:val="32"/>
          <w:szCs w:val="32"/>
        </w:rPr>
        <w:t>察</w:t>
      </w:r>
      <w:r>
        <w:rPr>
          <w:rFonts w:eastAsia="仿宋"/>
          <w:kern w:val="0"/>
          <w:sz w:val="32"/>
          <w:szCs w:val="32"/>
        </w:rPr>
        <w:t>、审计及专项检查过程中发现的具体问题及整改情况。</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t>（三）骨干投资完成情况</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说明灌区续改建项目投资计划下达及完成情况。包括国家下达投资计划、实际完成投资，完成投资占灌区规划骨干工程投资比例；国家和地方配套资金的到位比例与资金下达的及时性等。</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t>（四）骨干工程建设任务完成情况</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说明灌区实际完成续改建任务（改建水源工程座数、渠道长度、排水沟长度、建筑物座数、泵站座数等）和工程量</w:t>
      </w:r>
      <w:r>
        <w:rPr>
          <w:rFonts w:eastAsia="仿宋"/>
          <w:kern w:val="0"/>
          <w:sz w:val="32"/>
          <w:szCs w:val="32"/>
        </w:rPr>
        <w:lastRenderedPageBreak/>
        <w:t>（挖填土方、混凝土、钢筋混凝土、膜料等）的情况。</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灌区若对实施方案和规划任务进行了调整，包括实施规划外建设内容或提高续改建标准等情况，应说明调整原因。</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用灌区实际完成的建设任务和工程量与规划和实施方案批复值分别进行对比分析，评估灌区完成实施方案和规划任务的程度。</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根据灌区实际情况，综合分析因建设内容调整、技术方案改变、工程建设标准提高、物价上涨等因素对完成规划建设任务产生的影响情况，尽量用数据表述。</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t>（五）工程质量</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以工程质量检查报告、竣工验收报告等为依据，说明工程建设质量情况；在项目实施中是否发生过质量事故，如发生，说明原因和处理情况。</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对于完成并运行</w:t>
      </w:r>
      <w:r>
        <w:rPr>
          <w:rFonts w:eastAsia="仿宋"/>
          <w:kern w:val="0"/>
          <w:sz w:val="32"/>
          <w:szCs w:val="32"/>
        </w:rPr>
        <w:t>2</w:t>
      </w:r>
      <w:r>
        <w:rPr>
          <w:rFonts w:eastAsia="仿宋"/>
          <w:kern w:val="0"/>
          <w:sz w:val="32"/>
          <w:szCs w:val="32"/>
        </w:rPr>
        <w:t>年以上的工程项目进行现场抽查，说明工程设计、施工、设备安装等方面质量是否满足要求。简述灌区已投入运行的工程质量总体状况、存在的主要问题等。</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t>（六）新技术应用</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说明灌区在项目实施过程中，应用新技术、新材料、新工艺、新设备的总体情况和应用效果。</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t>（七）信息化建设</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说明灌区开展信息化建设的总体情况。内容包括投资及</w:t>
      </w:r>
      <w:r>
        <w:rPr>
          <w:rFonts w:eastAsia="仿宋"/>
          <w:kern w:val="0"/>
          <w:sz w:val="32"/>
          <w:szCs w:val="32"/>
        </w:rPr>
        <w:lastRenderedPageBreak/>
        <w:t>建设任务完成及信息化工程建后管护情况，并从信息化系统运行、信息化管理人员素质、运行管理经费落实等方面说明信息化工程在灌区用水管理中发挥的作用及存在的主要问题。</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t>（八）项目验收</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简述项目实施过程中的验收管理、验收组织以及验收工作进展情况。</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具体说明各年度项目进展情况、验收工作总体情况。包括在建、完工、完工验收、竣工验收的项目数量，并说明未完工项目及未开展验收项目的具体原因。</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t>（九）田间节水工程建设</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在骨干工程续改建实施期内，灌区范围内是否开展了田间工程建设，如是，说明利用各渠道资金开展田间节水工程建设的总体情况（包括田间工程建设内容及投资规模等）。</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说明利用其它渠道资金开展田间工程配套改造与原灌区规划确定的田间工程建设内容是否相协调，存在的主要问题。</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t>（十）过程评估结论</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通过对前期工作、建设管理、投资与建设任务完成程度、工程质量、新技术应用、信息化建设、项目验收等情况进行归纳总结，给出该部分总体评估结论。</w:t>
      </w:r>
    </w:p>
    <w:p w:rsidR="004E6DF2" w:rsidRDefault="004E6DF2">
      <w:pPr>
        <w:adjustRightInd w:val="0"/>
        <w:snapToGrid w:val="0"/>
        <w:spacing w:line="360" w:lineRule="auto"/>
        <w:ind w:firstLineChars="200" w:firstLine="640"/>
        <w:rPr>
          <w:rFonts w:ascii="黑体" w:eastAsia="黑体" w:hAnsi="黑体" w:cs="黑体"/>
          <w:bCs/>
          <w:sz w:val="32"/>
          <w:szCs w:val="32"/>
        </w:rPr>
      </w:pPr>
      <w:r>
        <w:rPr>
          <w:rFonts w:ascii="黑体" w:eastAsia="黑体" w:hAnsi="黑体" w:cs="黑体"/>
          <w:bCs/>
          <w:sz w:val="32"/>
          <w:szCs w:val="32"/>
        </w:rPr>
        <w:t>四、管理与改革评估</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重点说明灌区管理与改革的做法、成效、经验等情况。</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lastRenderedPageBreak/>
        <w:t>（一）</w:t>
      </w:r>
      <w:r w:rsidRPr="009263D3">
        <w:rPr>
          <w:rFonts w:ascii="楷体" w:eastAsia="楷体" w:hAnsi="楷体" w:cs="黑体" w:hint="eastAsia"/>
          <w:sz w:val="32"/>
          <w:szCs w:val="32"/>
        </w:rPr>
        <w:t>“两定”</w:t>
      </w:r>
      <w:r w:rsidRPr="009263D3">
        <w:rPr>
          <w:rFonts w:ascii="楷体" w:eastAsia="楷体" w:hAnsi="楷体" w:cs="黑体"/>
          <w:sz w:val="32"/>
          <w:szCs w:val="32"/>
        </w:rPr>
        <w:t>、</w:t>
      </w:r>
      <w:r w:rsidRPr="009263D3">
        <w:rPr>
          <w:rFonts w:ascii="楷体" w:eastAsia="楷体" w:hAnsi="楷体" w:cs="黑体" w:hint="eastAsia"/>
          <w:sz w:val="32"/>
          <w:szCs w:val="32"/>
        </w:rPr>
        <w:t>“两费”</w:t>
      </w:r>
      <w:r w:rsidRPr="009263D3">
        <w:rPr>
          <w:rFonts w:ascii="楷体" w:eastAsia="楷体" w:hAnsi="楷体" w:cs="黑体"/>
          <w:sz w:val="32"/>
          <w:szCs w:val="32"/>
        </w:rPr>
        <w:t>的落实</w:t>
      </w:r>
    </w:p>
    <w:p w:rsidR="004E6DF2" w:rsidRDefault="004E6DF2">
      <w:pPr>
        <w:adjustRightInd w:val="0"/>
        <w:snapToGrid w:val="0"/>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说明“两定”方案批复时间、单位定性、人员数量等情况，现状管理人员数量，万亩专管人员数量，核定“两费”以及经费落实比例，人员与运行维护经费保障情况等。“两费”未能足额落实到位的灌区，应说明具体原因。</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hint="eastAsia"/>
          <w:sz w:val="32"/>
          <w:szCs w:val="32"/>
        </w:rPr>
        <w:t>（二）执行水价与水费计收</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说明核定的灌溉供水成本、批复的执行水价和批复时间；如灌区同时也为工业或城市生活等用水户供水，应说明其供水成本、执行水价及水费收缴情况等。</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简述灌区农业灌溉水费计收方式（按方、按亩），水费实收率等。水费收缴率较低的灌区应分析说明具体原因。</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hint="eastAsia"/>
          <w:sz w:val="32"/>
          <w:szCs w:val="32"/>
        </w:rPr>
        <w:t>（三）用水户参与管理</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说明用水户协会等群管组织参与灌溉管理的情况。内容主要包括：用水户协会等群管组织数量和管理灌溉面积、与灌区管理部门的关系、用水户参与灌溉管理的方式等。分析说明用水户协会参与灌溉管理在本灌区的适应性及发挥的主要作用。在推广用水户参与灌溉管理过程中存在的主要问题和制约因素等。</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hint="eastAsia"/>
          <w:sz w:val="32"/>
          <w:szCs w:val="32"/>
        </w:rPr>
        <w:t>（四）用水计量</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说明灌区灌溉用水计量的总体情况。内容包括灌溉用水计量采用的主要方法、斗渠及以上渠道用水计量比率；灌区</w:t>
      </w:r>
      <w:r>
        <w:rPr>
          <w:rFonts w:eastAsia="仿宋"/>
          <w:kern w:val="0"/>
          <w:sz w:val="32"/>
          <w:szCs w:val="32"/>
        </w:rPr>
        <w:lastRenderedPageBreak/>
        <w:t>在灌溉用水计量设施建设与管理方面存在的主要问题等。</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t>（五）工程运行与维修养护</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说明工程运行与维修养护情况。主要包括以下几方面内容：</w:t>
      </w:r>
    </w:p>
    <w:p w:rsidR="004E6DF2" w:rsidRDefault="004E6DF2">
      <w:pPr>
        <w:adjustRightInd w:val="0"/>
        <w:snapToGrid w:val="0"/>
        <w:spacing w:line="360" w:lineRule="auto"/>
        <w:ind w:firstLineChars="200" w:firstLine="640"/>
        <w:rPr>
          <w:rFonts w:eastAsia="仿宋"/>
          <w:spacing w:val="-2"/>
          <w:kern w:val="0"/>
          <w:sz w:val="32"/>
          <w:szCs w:val="32"/>
        </w:rPr>
      </w:pPr>
      <w:r>
        <w:rPr>
          <w:rFonts w:eastAsia="仿宋"/>
          <w:kern w:val="0"/>
          <w:sz w:val="32"/>
          <w:szCs w:val="32"/>
        </w:rPr>
        <w:t>一是</w:t>
      </w:r>
      <w:r>
        <w:rPr>
          <w:rFonts w:eastAsia="仿宋"/>
          <w:spacing w:val="-2"/>
          <w:kern w:val="0"/>
          <w:sz w:val="32"/>
          <w:szCs w:val="32"/>
        </w:rPr>
        <w:t>运行管理规章制度是否健全、是否管养分离。</w:t>
      </w:r>
    </w:p>
    <w:p w:rsidR="004E6DF2" w:rsidRDefault="004E6DF2">
      <w:pPr>
        <w:adjustRightInd w:val="0"/>
        <w:snapToGrid w:val="0"/>
        <w:spacing w:line="360" w:lineRule="auto"/>
        <w:ind w:firstLineChars="200" w:firstLine="632"/>
        <w:rPr>
          <w:rFonts w:eastAsia="仿宋"/>
          <w:kern w:val="0"/>
          <w:sz w:val="32"/>
          <w:szCs w:val="32"/>
        </w:rPr>
      </w:pPr>
      <w:r>
        <w:rPr>
          <w:rFonts w:eastAsia="仿宋"/>
          <w:spacing w:val="-2"/>
          <w:kern w:val="0"/>
          <w:sz w:val="32"/>
          <w:szCs w:val="32"/>
        </w:rPr>
        <w:t>二是已建工程运行维护经费是否能够满足实际需求，若不能满足需求，应分析经费产生缺口的具体原因。对</w:t>
      </w:r>
      <w:r>
        <w:rPr>
          <w:rFonts w:eastAsia="仿宋"/>
          <w:kern w:val="0"/>
          <w:sz w:val="32"/>
          <w:szCs w:val="32"/>
        </w:rPr>
        <w:t>灌区水利工程运行不能达到设计标准，工程存在严重损坏无法安全运行，需经除险加固后才能正常运行的工程，应说明具体数量（座、</w:t>
      </w:r>
      <w:r>
        <w:rPr>
          <w:rFonts w:eastAsia="仿宋"/>
          <w:kern w:val="0"/>
          <w:sz w:val="32"/>
          <w:szCs w:val="32"/>
        </w:rPr>
        <w:t>km</w:t>
      </w:r>
      <w:r>
        <w:rPr>
          <w:rFonts w:eastAsia="仿宋"/>
          <w:kern w:val="0"/>
          <w:sz w:val="32"/>
          <w:szCs w:val="32"/>
        </w:rPr>
        <w:t>）、相应工程位置及建设年代，并分析其对灌区运行管理及工程效益发挥产生的相关影响。</w:t>
      </w:r>
    </w:p>
    <w:p w:rsidR="004E6DF2" w:rsidRDefault="004E6DF2">
      <w:pPr>
        <w:adjustRightInd w:val="0"/>
        <w:snapToGrid w:val="0"/>
        <w:spacing w:line="360" w:lineRule="auto"/>
        <w:ind w:firstLineChars="200" w:firstLine="640"/>
        <w:rPr>
          <w:rFonts w:eastAsia="仿宋"/>
          <w:spacing w:val="-2"/>
          <w:kern w:val="0"/>
          <w:sz w:val="32"/>
          <w:szCs w:val="32"/>
        </w:rPr>
      </w:pPr>
      <w:r>
        <w:rPr>
          <w:rFonts w:eastAsia="仿宋"/>
          <w:kern w:val="0"/>
          <w:sz w:val="32"/>
          <w:szCs w:val="32"/>
        </w:rPr>
        <w:t>三是说明</w:t>
      </w:r>
      <w:r>
        <w:rPr>
          <w:rFonts w:eastAsia="仿宋"/>
          <w:spacing w:val="-2"/>
          <w:kern w:val="0"/>
          <w:sz w:val="32"/>
          <w:szCs w:val="32"/>
        </w:rPr>
        <w:t>在灌区专管人员大中专以上学历人员比例，人员队伍是否稳定等。</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t>（六）管理与改革评估</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经综合分析，给出灌区管理与改革总体评估结论。</w:t>
      </w:r>
    </w:p>
    <w:p w:rsidR="004E6DF2" w:rsidRDefault="004E6DF2">
      <w:pPr>
        <w:adjustRightInd w:val="0"/>
        <w:snapToGrid w:val="0"/>
        <w:spacing w:line="360" w:lineRule="auto"/>
        <w:ind w:firstLineChars="200" w:firstLine="640"/>
        <w:rPr>
          <w:rFonts w:ascii="黑体" w:eastAsia="黑体" w:hAnsi="黑体" w:cs="黑体"/>
          <w:bCs/>
          <w:sz w:val="32"/>
          <w:szCs w:val="32"/>
        </w:rPr>
      </w:pPr>
      <w:r>
        <w:rPr>
          <w:rFonts w:ascii="黑体" w:eastAsia="黑体" w:hAnsi="黑体" w:cs="黑体"/>
          <w:bCs/>
          <w:sz w:val="32"/>
          <w:szCs w:val="32"/>
        </w:rPr>
        <w:t>五、项目效益评估</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与灌区规划效益指标比较，对项目实施后灌区产生的效益进行分析、评估。</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在进行项目效益评估时应注意：灌区规划建设任务包括骨干工程和田间工程，规划效益目标是指骨干工程和田间工程均完成后应达到的效益预期值。本项目只针对灌区骨干工</w:t>
      </w:r>
      <w:r>
        <w:rPr>
          <w:rFonts w:eastAsia="仿宋"/>
          <w:kern w:val="0"/>
          <w:sz w:val="32"/>
          <w:szCs w:val="32"/>
        </w:rPr>
        <w:lastRenderedPageBreak/>
        <w:t>程实施了续改建，田间工程有些地方利用了其他渠道资金予以实施，各灌区情况差异较大。因此，在分析和评估灌区效益实现程度时应实事求是，效益数据要真实、可靠。</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t>（一）节水效益</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说明项目实施前后渠系水利用系数、灌溉水利用系数、亩均灌溉用水量变化，分析灌区节水总量。在节水总量中，说明用于新增或改善灌溉面积、生态环境用水、城市与工业用水以及其它用途的具体比例。将项目实施后灌区渠系水利用系数、灌溉水利用系数、节水量与规划报告中预期目标或预期效益值进行比较分析，说明规划目标的实现程度。</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t>（二）增产增收效益</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说明灌区在项目实施前后新增、改善灌溉面积，粮食作物平均亩产、粮食总产量、农民人均纯收入等情况。将灌区实现效益与规划预期效益进行比较分析，说明灌区规划目标的实现程度。</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t>（三）其它效益</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说明项目实施前后灌区输水效率变化、提高灌溉保证率、缩短灌水时间、提高工程安全运行保障程度、提水灌区单位能耗下降等情况；分析说明灌区在当地农业及农村经济发展、生态环境改善中所起到的支撑保障作用（该部分内容尽量用数据与实例加以说明）。</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lastRenderedPageBreak/>
        <w:t>（四）效益评估结论</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说明灌区续建配套与节水改造规划效益目标实现程度，并给出总体评估结论。</w:t>
      </w:r>
    </w:p>
    <w:p w:rsidR="004E6DF2" w:rsidRDefault="004E6DF2">
      <w:pPr>
        <w:adjustRightInd w:val="0"/>
        <w:snapToGrid w:val="0"/>
        <w:spacing w:line="360" w:lineRule="auto"/>
        <w:ind w:firstLineChars="200" w:firstLine="640"/>
        <w:rPr>
          <w:rFonts w:ascii="黑体" w:eastAsia="黑体" w:hAnsi="黑体" w:cs="黑体"/>
          <w:bCs/>
          <w:sz w:val="32"/>
          <w:szCs w:val="32"/>
        </w:rPr>
      </w:pPr>
      <w:r>
        <w:rPr>
          <w:rFonts w:ascii="黑体" w:eastAsia="黑体" w:hAnsi="黑体" w:cs="黑体"/>
          <w:bCs/>
          <w:sz w:val="32"/>
          <w:szCs w:val="32"/>
        </w:rPr>
        <w:t>六、影响评估</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结合灌区实际，全面分析项目建设对社会、技术和环境等方面产生的影响。重点从以下方面分析说明</w:t>
      </w:r>
      <w:r>
        <w:rPr>
          <w:rFonts w:eastAsia="仿宋" w:hint="eastAsia"/>
          <w:kern w:val="0"/>
          <w:sz w:val="32"/>
          <w:szCs w:val="32"/>
        </w:rPr>
        <w:t>：</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一是水土保持、环境保护措施实施情况及效果</w:t>
      </w:r>
      <w:r>
        <w:rPr>
          <w:rFonts w:eastAsia="仿宋" w:hint="eastAsia"/>
          <w:kern w:val="0"/>
          <w:sz w:val="32"/>
          <w:szCs w:val="32"/>
        </w:rPr>
        <w:t>。</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二是灌区农业总产值及农民人均纯收入增加情况</w:t>
      </w:r>
      <w:r>
        <w:rPr>
          <w:rFonts w:eastAsia="仿宋" w:hint="eastAsia"/>
          <w:kern w:val="0"/>
          <w:sz w:val="32"/>
          <w:szCs w:val="32"/>
        </w:rPr>
        <w:t>。</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三是灌溉劳动强度降低情况</w:t>
      </w:r>
      <w:r>
        <w:rPr>
          <w:rFonts w:eastAsia="仿宋" w:hint="eastAsia"/>
          <w:kern w:val="0"/>
          <w:sz w:val="32"/>
          <w:szCs w:val="32"/>
        </w:rPr>
        <w:t>。</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四是用水纠纷减少及农村生态环境改善情况</w:t>
      </w:r>
      <w:r>
        <w:rPr>
          <w:rFonts w:eastAsia="仿宋" w:hint="eastAsia"/>
          <w:kern w:val="0"/>
          <w:sz w:val="32"/>
          <w:szCs w:val="32"/>
        </w:rPr>
        <w:t>。</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五是对农业种植结构调整、灌区现代农业建设及</w:t>
      </w:r>
      <w:r>
        <w:rPr>
          <w:rFonts w:eastAsia="仿宋" w:hint="eastAsia"/>
          <w:kern w:val="0"/>
          <w:sz w:val="32"/>
          <w:szCs w:val="32"/>
        </w:rPr>
        <w:t>实施乡村振兴战略</w:t>
      </w:r>
      <w:r>
        <w:rPr>
          <w:rFonts w:eastAsia="仿宋"/>
          <w:kern w:val="0"/>
          <w:sz w:val="32"/>
          <w:szCs w:val="32"/>
        </w:rPr>
        <w:t>等方面的促进作用。根据以上情况给出影响评估结论。</w:t>
      </w:r>
    </w:p>
    <w:p w:rsidR="004E6DF2" w:rsidRDefault="004E6DF2">
      <w:pPr>
        <w:adjustRightInd w:val="0"/>
        <w:snapToGrid w:val="0"/>
        <w:spacing w:line="360" w:lineRule="auto"/>
        <w:ind w:firstLineChars="200" w:firstLine="640"/>
        <w:rPr>
          <w:rFonts w:ascii="黑体" w:eastAsia="黑体" w:hAnsi="黑体" w:cs="黑体"/>
          <w:bCs/>
          <w:sz w:val="32"/>
          <w:szCs w:val="32"/>
        </w:rPr>
      </w:pPr>
      <w:r>
        <w:rPr>
          <w:rFonts w:ascii="黑体" w:eastAsia="黑体" w:hAnsi="黑体" w:cs="黑体"/>
          <w:bCs/>
          <w:sz w:val="32"/>
          <w:szCs w:val="32"/>
        </w:rPr>
        <w:t>七、目标与可持续性评估</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t>（一）目标评估</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将灌区续改建任务与效益目标实现值与灌区规划建设任务和效益目标值进行对比，分析与规划目标的偏离程度及原因，同时对规划目标的合理性进行分析、总结和评估。</w:t>
      </w:r>
    </w:p>
    <w:p w:rsidR="004E6DF2" w:rsidRPr="009263D3" w:rsidRDefault="004E6DF2" w:rsidP="009A1A68">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t>（二）可持续性评估</w:t>
      </w:r>
    </w:p>
    <w:p w:rsidR="004E6DF2" w:rsidRPr="009263D3" w:rsidRDefault="004E6DF2" w:rsidP="009263D3">
      <w:pPr>
        <w:adjustRightInd w:val="0"/>
        <w:snapToGrid w:val="0"/>
        <w:spacing w:line="360" w:lineRule="auto"/>
        <w:ind w:firstLineChars="200" w:firstLine="640"/>
        <w:rPr>
          <w:rFonts w:eastAsia="仿宋"/>
          <w:kern w:val="0"/>
          <w:sz w:val="32"/>
          <w:szCs w:val="32"/>
        </w:rPr>
      </w:pPr>
      <w:r w:rsidRPr="009263D3">
        <w:rPr>
          <w:rFonts w:eastAsia="仿宋" w:hint="eastAsia"/>
          <w:kern w:val="0"/>
          <w:sz w:val="32"/>
          <w:szCs w:val="32"/>
        </w:rPr>
        <w:t>1.</w:t>
      </w:r>
      <w:r w:rsidRPr="009263D3">
        <w:rPr>
          <w:rFonts w:eastAsia="仿宋" w:hint="eastAsia"/>
          <w:kern w:val="0"/>
          <w:sz w:val="32"/>
          <w:szCs w:val="32"/>
        </w:rPr>
        <w:t>灌溉面积</w:t>
      </w:r>
    </w:p>
    <w:p w:rsidR="004E6DF2" w:rsidRDefault="004E6DF2">
      <w:pPr>
        <w:adjustRightInd w:val="0"/>
        <w:snapToGrid w:val="0"/>
        <w:spacing w:line="360" w:lineRule="auto"/>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一方面，说明水源条件对规划灌溉面积的支撑能力，未</w:t>
      </w:r>
      <w:r>
        <w:rPr>
          <w:rFonts w:ascii="仿宋" w:eastAsia="仿宋" w:hAnsi="仿宋" w:cs="仿宋" w:hint="eastAsia"/>
          <w:bCs/>
          <w:kern w:val="0"/>
          <w:sz w:val="32"/>
          <w:szCs w:val="32"/>
        </w:rPr>
        <w:lastRenderedPageBreak/>
        <w:t>来灌溉面积是否还有进一步发展潜力；另一方面从建设用地征占、灌溉供水挤占（转移）等方面分析说明灌区灌溉规模的稳定性情况。</w:t>
      </w:r>
    </w:p>
    <w:p w:rsidR="004E6DF2" w:rsidRPr="009263D3" w:rsidRDefault="004E6DF2" w:rsidP="009263D3">
      <w:pPr>
        <w:adjustRightInd w:val="0"/>
        <w:snapToGrid w:val="0"/>
        <w:spacing w:line="360" w:lineRule="auto"/>
        <w:ind w:firstLineChars="200" w:firstLine="640"/>
        <w:rPr>
          <w:rFonts w:eastAsia="仿宋"/>
          <w:kern w:val="0"/>
          <w:sz w:val="32"/>
          <w:szCs w:val="32"/>
        </w:rPr>
      </w:pPr>
      <w:r w:rsidRPr="009263D3">
        <w:rPr>
          <w:rFonts w:eastAsia="仿宋" w:hint="eastAsia"/>
          <w:kern w:val="0"/>
          <w:sz w:val="32"/>
          <w:szCs w:val="32"/>
        </w:rPr>
        <w:t>2.</w:t>
      </w:r>
      <w:r w:rsidRPr="009263D3">
        <w:rPr>
          <w:rFonts w:eastAsia="仿宋" w:hint="eastAsia"/>
          <w:kern w:val="0"/>
          <w:sz w:val="32"/>
          <w:szCs w:val="32"/>
        </w:rPr>
        <w:t>工程维护与运行管理</w:t>
      </w:r>
    </w:p>
    <w:p w:rsidR="004E6DF2" w:rsidRDefault="004E6DF2">
      <w:pPr>
        <w:adjustRightInd w:val="0"/>
        <w:snapToGrid w:val="0"/>
        <w:spacing w:line="360" w:lineRule="auto"/>
        <w:ind w:firstLineChars="200" w:firstLine="624"/>
        <w:rPr>
          <w:rFonts w:ascii="仿宋" w:eastAsia="仿宋" w:hAnsi="仿宋" w:cs="仿宋"/>
          <w:bCs/>
          <w:spacing w:val="-4"/>
          <w:kern w:val="0"/>
          <w:sz w:val="32"/>
          <w:szCs w:val="32"/>
        </w:rPr>
      </w:pPr>
      <w:r>
        <w:rPr>
          <w:rFonts w:ascii="仿宋" w:eastAsia="仿宋" w:hAnsi="仿宋" w:cs="仿宋" w:hint="eastAsia"/>
          <w:bCs/>
          <w:spacing w:val="-4"/>
          <w:kern w:val="0"/>
          <w:sz w:val="32"/>
          <w:szCs w:val="32"/>
        </w:rPr>
        <w:t>从灌区管理模式、两费落实程度、运行管护经费保障、人才队伍建设等方面分析说明灌区工程正常运行的可持续性。</w:t>
      </w:r>
    </w:p>
    <w:p w:rsidR="004E6DF2" w:rsidRPr="009263D3" w:rsidRDefault="004E6DF2" w:rsidP="009263D3">
      <w:pPr>
        <w:adjustRightInd w:val="0"/>
        <w:snapToGrid w:val="0"/>
        <w:spacing w:line="360" w:lineRule="auto"/>
        <w:ind w:firstLineChars="200" w:firstLine="640"/>
        <w:rPr>
          <w:rFonts w:eastAsia="仿宋"/>
          <w:kern w:val="0"/>
          <w:sz w:val="32"/>
          <w:szCs w:val="32"/>
        </w:rPr>
      </w:pPr>
      <w:r w:rsidRPr="009263D3">
        <w:rPr>
          <w:rFonts w:eastAsia="仿宋" w:hint="eastAsia"/>
          <w:kern w:val="0"/>
          <w:sz w:val="32"/>
          <w:szCs w:val="32"/>
        </w:rPr>
        <w:t>3.</w:t>
      </w:r>
      <w:r w:rsidRPr="009263D3">
        <w:rPr>
          <w:rFonts w:eastAsia="仿宋" w:hint="eastAsia"/>
          <w:kern w:val="0"/>
          <w:sz w:val="32"/>
          <w:szCs w:val="32"/>
        </w:rPr>
        <w:t>政策支持</w:t>
      </w:r>
    </w:p>
    <w:p w:rsidR="004E6DF2" w:rsidRDefault="004E6DF2">
      <w:pPr>
        <w:adjustRightInd w:val="0"/>
        <w:snapToGrid w:val="0"/>
        <w:spacing w:line="360" w:lineRule="auto"/>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从国家及地方政府出台相关扶持政策等方面分析其对灌区可持续发展产生的影响。</w:t>
      </w:r>
    </w:p>
    <w:p w:rsidR="004E6DF2" w:rsidRPr="009263D3" w:rsidRDefault="004E6DF2" w:rsidP="009263D3">
      <w:pPr>
        <w:adjustRightInd w:val="0"/>
        <w:snapToGrid w:val="0"/>
        <w:spacing w:line="360" w:lineRule="auto"/>
        <w:ind w:firstLineChars="200" w:firstLine="640"/>
        <w:rPr>
          <w:rFonts w:eastAsia="仿宋"/>
          <w:kern w:val="0"/>
          <w:sz w:val="32"/>
          <w:szCs w:val="32"/>
        </w:rPr>
      </w:pPr>
      <w:r w:rsidRPr="009263D3">
        <w:rPr>
          <w:rFonts w:eastAsia="仿宋" w:hint="eastAsia"/>
          <w:kern w:val="0"/>
          <w:sz w:val="32"/>
          <w:szCs w:val="32"/>
        </w:rPr>
        <w:t>4.</w:t>
      </w:r>
      <w:r w:rsidRPr="009263D3">
        <w:rPr>
          <w:rFonts w:eastAsia="仿宋" w:hint="eastAsia"/>
          <w:kern w:val="0"/>
          <w:sz w:val="32"/>
          <w:szCs w:val="32"/>
        </w:rPr>
        <w:t>可持续性评估结论</w:t>
      </w:r>
    </w:p>
    <w:p w:rsidR="004E6DF2" w:rsidRDefault="004E6DF2">
      <w:pPr>
        <w:adjustRightInd w:val="0"/>
        <w:snapToGrid w:val="0"/>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根据灌溉面积稳定性、工程运行管护</w:t>
      </w:r>
      <w:r>
        <w:rPr>
          <w:rFonts w:ascii="仿宋" w:eastAsia="仿宋" w:hAnsi="仿宋" w:cs="仿宋" w:hint="eastAsia"/>
          <w:spacing w:val="-4"/>
          <w:kern w:val="0"/>
          <w:sz w:val="32"/>
          <w:szCs w:val="32"/>
        </w:rPr>
        <w:t>可持续性</w:t>
      </w:r>
      <w:r>
        <w:rPr>
          <w:rFonts w:ascii="仿宋" w:eastAsia="仿宋" w:hAnsi="仿宋" w:cs="仿宋" w:hint="eastAsia"/>
          <w:kern w:val="0"/>
          <w:sz w:val="32"/>
          <w:szCs w:val="32"/>
        </w:rPr>
        <w:t>，以及政策扶持等方面的分析结果，对灌区工程效益发挥的可持续性进行综合评估，给出可持续性评估结论。</w:t>
      </w:r>
    </w:p>
    <w:p w:rsidR="004E6DF2" w:rsidRDefault="004E6DF2">
      <w:pPr>
        <w:adjustRightInd w:val="0"/>
        <w:snapToGrid w:val="0"/>
        <w:spacing w:line="360" w:lineRule="auto"/>
        <w:ind w:firstLineChars="196" w:firstLine="627"/>
        <w:rPr>
          <w:rFonts w:ascii="黑体" w:eastAsia="黑体" w:hAnsi="黑体" w:cs="黑体"/>
          <w:sz w:val="32"/>
          <w:szCs w:val="32"/>
        </w:rPr>
      </w:pPr>
      <w:r>
        <w:rPr>
          <w:rFonts w:ascii="黑体" w:eastAsia="黑体" w:hAnsi="黑体" w:cs="黑体" w:hint="eastAsia"/>
          <w:sz w:val="32"/>
          <w:szCs w:val="32"/>
        </w:rPr>
        <w:t>八、综合评估</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综合分析灌区过程评估、管理与改革、项目效益、影响及目标与可持续性等方面的评估情况，给出灌区续建配套与节水改造建设项目实施效果评估的总体性结论。可以从以下几方面论述：大型灌区续建配套与节水改造项目决策正确性，立项及时性，重点是否突出等；前期工作和建设内容合理性等；建设管理规范性，建设任务完成情况，工程质量情况；节水、增产、增效、增收效果；灌区管理体制与机制改革，</w:t>
      </w:r>
      <w:r>
        <w:rPr>
          <w:rFonts w:eastAsia="仿宋"/>
          <w:kern w:val="0"/>
          <w:sz w:val="32"/>
          <w:szCs w:val="32"/>
        </w:rPr>
        <w:lastRenderedPageBreak/>
        <w:t>灌区管理水平提高；项目实施对社会、技术进步和环境改善产生的影响；项目建设与目标的可持续性等。</w:t>
      </w:r>
    </w:p>
    <w:p w:rsidR="004E6DF2" w:rsidRDefault="004E6DF2">
      <w:pPr>
        <w:adjustRightInd w:val="0"/>
        <w:snapToGrid w:val="0"/>
        <w:spacing w:line="360" w:lineRule="auto"/>
        <w:ind w:firstLineChars="200" w:firstLine="640"/>
        <w:rPr>
          <w:rFonts w:ascii="黑体" w:eastAsia="黑体" w:hAnsi="黑体" w:cs="黑体"/>
          <w:bCs/>
          <w:sz w:val="32"/>
          <w:szCs w:val="32"/>
        </w:rPr>
      </w:pPr>
      <w:r>
        <w:rPr>
          <w:rFonts w:ascii="黑体" w:eastAsia="黑体" w:hAnsi="黑体" w:cs="黑体"/>
          <w:bCs/>
          <w:sz w:val="32"/>
          <w:szCs w:val="32"/>
        </w:rPr>
        <w:t>九、 经验、问题及建议</w:t>
      </w:r>
    </w:p>
    <w:p w:rsidR="004E6DF2" w:rsidRDefault="004E6DF2">
      <w:pPr>
        <w:adjustRightInd w:val="0"/>
        <w:snapToGrid w:val="0"/>
        <w:spacing w:line="360" w:lineRule="auto"/>
        <w:ind w:firstLineChars="200" w:firstLine="640"/>
        <w:rPr>
          <w:rFonts w:eastAsia="仿宋"/>
          <w:kern w:val="0"/>
          <w:sz w:val="32"/>
          <w:szCs w:val="32"/>
        </w:rPr>
      </w:pPr>
      <w:r>
        <w:rPr>
          <w:rFonts w:eastAsia="仿宋"/>
          <w:kern w:val="0"/>
          <w:sz w:val="32"/>
          <w:szCs w:val="32"/>
        </w:rPr>
        <w:t>结合灌区实际情况，分析说明灌区在实施续建配套与节水改造项目、灌区管理体制与机制改革，以及工程运行管理与维护过程中的主要经验与做法、存在的问题，并对今后灌区开展升级改造和深化管理体制与机制改革提出对策与建议。</w:t>
      </w:r>
    </w:p>
    <w:p w:rsidR="004E6DF2" w:rsidRPr="009263D3" w:rsidRDefault="004E6DF2" w:rsidP="009263D3">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t>（一）主要经验</w:t>
      </w:r>
    </w:p>
    <w:p w:rsidR="004E6DF2" w:rsidRPr="009263D3" w:rsidRDefault="004E6DF2" w:rsidP="009263D3">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t>（二）存在的主要问题</w:t>
      </w:r>
    </w:p>
    <w:p w:rsidR="004E6DF2" w:rsidRPr="009263D3" w:rsidRDefault="004E6DF2" w:rsidP="009263D3">
      <w:pPr>
        <w:adjustRightInd w:val="0"/>
        <w:snapToGrid w:val="0"/>
        <w:spacing w:line="360" w:lineRule="auto"/>
        <w:ind w:firstLineChars="196" w:firstLine="627"/>
        <w:outlineLvl w:val="0"/>
        <w:rPr>
          <w:rFonts w:ascii="楷体" w:eastAsia="楷体" w:hAnsi="楷体" w:cs="黑体"/>
          <w:sz w:val="32"/>
          <w:szCs w:val="32"/>
        </w:rPr>
      </w:pPr>
      <w:r w:rsidRPr="009263D3">
        <w:rPr>
          <w:rFonts w:ascii="楷体" w:eastAsia="楷体" w:hAnsi="楷体" w:cs="黑体"/>
          <w:sz w:val="32"/>
          <w:szCs w:val="32"/>
        </w:rPr>
        <w:t>（三）对策与建议</w:t>
      </w:r>
      <w:bookmarkEnd w:id="0"/>
    </w:p>
    <w:sectPr w:rsidR="004E6DF2" w:rsidRPr="009263D3" w:rsidSect="00024F4C">
      <w:pgSz w:w="11906" w:h="16838"/>
      <w:pgMar w:top="1985" w:right="1758" w:bottom="1418" w:left="175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E67" w:rsidRDefault="00113E67" w:rsidP="00BC3F9C">
      <w:r>
        <w:separator/>
      </w:r>
    </w:p>
  </w:endnote>
  <w:endnote w:type="continuationSeparator" w:id="1">
    <w:p w:rsidR="00113E67" w:rsidRDefault="00113E67" w:rsidP="00BC3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E67" w:rsidRDefault="00113E67" w:rsidP="00BC3F9C">
      <w:r>
        <w:separator/>
      </w:r>
    </w:p>
  </w:footnote>
  <w:footnote w:type="continuationSeparator" w:id="1">
    <w:p w:rsidR="00113E67" w:rsidRDefault="00113E67" w:rsidP="00BC3F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095"/>
    <w:rsid w:val="00024F4C"/>
    <w:rsid w:val="00032BC0"/>
    <w:rsid w:val="000757E2"/>
    <w:rsid w:val="000825F8"/>
    <w:rsid w:val="00096C7E"/>
    <w:rsid w:val="000B3114"/>
    <w:rsid w:val="000B79D4"/>
    <w:rsid w:val="000D16DB"/>
    <w:rsid w:val="00113E67"/>
    <w:rsid w:val="00135DB0"/>
    <w:rsid w:val="0015444C"/>
    <w:rsid w:val="00174A04"/>
    <w:rsid w:val="001B15CB"/>
    <w:rsid w:val="001B4E0E"/>
    <w:rsid w:val="001C0257"/>
    <w:rsid w:val="001C5F7F"/>
    <w:rsid w:val="001D34B3"/>
    <w:rsid w:val="00202CD2"/>
    <w:rsid w:val="00216FCB"/>
    <w:rsid w:val="00223EDE"/>
    <w:rsid w:val="002503C4"/>
    <w:rsid w:val="00251930"/>
    <w:rsid w:val="002649C5"/>
    <w:rsid w:val="00275E7F"/>
    <w:rsid w:val="00280A54"/>
    <w:rsid w:val="002B79D8"/>
    <w:rsid w:val="002D37BD"/>
    <w:rsid w:val="002F3E97"/>
    <w:rsid w:val="00312097"/>
    <w:rsid w:val="00313319"/>
    <w:rsid w:val="00393A70"/>
    <w:rsid w:val="003A67F2"/>
    <w:rsid w:val="003C3E23"/>
    <w:rsid w:val="003D0C26"/>
    <w:rsid w:val="003F12A1"/>
    <w:rsid w:val="00484495"/>
    <w:rsid w:val="004A1252"/>
    <w:rsid w:val="004A43D2"/>
    <w:rsid w:val="004C6E11"/>
    <w:rsid w:val="004E6DF2"/>
    <w:rsid w:val="00511F13"/>
    <w:rsid w:val="00513D0B"/>
    <w:rsid w:val="0058555B"/>
    <w:rsid w:val="005B4688"/>
    <w:rsid w:val="00605A75"/>
    <w:rsid w:val="00616687"/>
    <w:rsid w:val="006217D3"/>
    <w:rsid w:val="00624B5A"/>
    <w:rsid w:val="0062704C"/>
    <w:rsid w:val="00662BD8"/>
    <w:rsid w:val="006D2920"/>
    <w:rsid w:val="006E5579"/>
    <w:rsid w:val="006F3072"/>
    <w:rsid w:val="006F7390"/>
    <w:rsid w:val="00704DA7"/>
    <w:rsid w:val="007104C8"/>
    <w:rsid w:val="00714ABE"/>
    <w:rsid w:val="00727857"/>
    <w:rsid w:val="007640F5"/>
    <w:rsid w:val="007676CF"/>
    <w:rsid w:val="00770D1C"/>
    <w:rsid w:val="00787538"/>
    <w:rsid w:val="00794BCF"/>
    <w:rsid w:val="007A7B48"/>
    <w:rsid w:val="007B3D8C"/>
    <w:rsid w:val="008175B4"/>
    <w:rsid w:val="008344F5"/>
    <w:rsid w:val="008A11D0"/>
    <w:rsid w:val="008C1095"/>
    <w:rsid w:val="008D063D"/>
    <w:rsid w:val="00922C67"/>
    <w:rsid w:val="009263D3"/>
    <w:rsid w:val="00960E2A"/>
    <w:rsid w:val="009921A4"/>
    <w:rsid w:val="00995DB4"/>
    <w:rsid w:val="009A1A68"/>
    <w:rsid w:val="009E138C"/>
    <w:rsid w:val="009F0364"/>
    <w:rsid w:val="00A04279"/>
    <w:rsid w:val="00A1321C"/>
    <w:rsid w:val="00A172F1"/>
    <w:rsid w:val="00A3638C"/>
    <w:rsid w:val="00A77853"/>
    <w:rsid w:val="00AD650C"/>
    <w:rsid w:val="00B005CF"/>
    <w:rsid w:val="00B159FA"/>
    <w:rsid w:val="00B20FC1"/>
    <w:rsid w:val="00B23872"/>
    <w:rsid w:val="00B436A0"/>
    <w:rsid w:val="00B44342"/>
    <w:rsid w:val="00B662F7"/>
    <w:rsid w:val="00B765C3"/>
    <w:rsid w:val="00B84157"/>
    <w:rsid w:val="00B8729D"/>
    <w:rsid w:val="00B946CA"/>
    <w:rsid w:val="00B946F8"/>
    <w:rsid w:val="00BC3F9C"/>
    <w:rsid w:val="00C02B75"/>
    <w:rsid w:val="00C05686"/>
    <w:rsid w:val="00C13C23"/>
    <w:rsid w:val="00C153E5"/>
    <w:rsid w:val="00C65B5A"/>
    <w:rsid w:val="00CD11C2"/>
    <w:rsid w:val="00D0119A"/>
    <w:rsid w:val="00D27712"/>
    <w:rsid w:val="00D45FD8"/>
    <w:rsid w:val="00D6046D"/>
    <w:rsid w:val="00D7593C"/>
    <w:rsid w:val="00D8523D"/>
    <w:rsid w:val="00DC02C3"/>
    <w:rsid w:val="00E125E1"/>
    <w:rsid w:val="00E130C3"/>
    <w:rsid w:val="00E64647"/>
    <w:rsid w:val="00E65065"/>
    <w:rsid w:val="00E73355"/>
    <w:rsid w:val="00E8178E"/>
    <w:rsid w:val="00EB330E"/>
    <w:rsid w:val="00EB49C4"/>
    <w:rsid w:val="00F41117"/>
    <w:rsid w:val="00F422AA"/>
    <w:rsid w:val="00F62499"/>
    <w:rsid w:val="00F907CB"/>
    <w:rsid w:val="00F956BD"/>
    <w:rsid w:val="00FA6231"/>
    <w:rsid w:val="00FB0BE2"/>
    <w:rsid w:val="00FB5924"/>
    <w:rsid w:val="00FC2C3B"/>
    <w:rsid w:val="00FD32F2"/>
    <w:rsid w:val="00FE44BC"/>
    <w:rsid w:val="00FF267A"/>
    <w:rsid w:val="02A221A7"/>
    <w:rsid w:val="08BD085B"/>
    <w:rsid w:val="11182FA2"/>
    <w:rsid w:val="13CB20F5"/>
    <w:rsid w:val="288556DC"/>
    <w:rsid w:val="28BE4A11"/>
    <w:rsid w:val="2FC64C6F"/>
    <w:rsid w:val="39FC3DD2"/>
    <w:rsid w:val="3A7B532A"/>
    <w:rsid w:val="3C5622E3"/>
    <w:rsid w:val="3E7A21D7"/>
    <w:rsid w:val="470C514A"/>
    <w:rsid w:val="48E9676F"/>
    <w:rsid w:val="4F0C7FDC"/>
    <w:rsid w:val="4F811067"/>
    <w:rsid w:val="53C9394F"/>
    <w:rsid w:val="561776FF"/>
    <w:rsid w:val="5B03607E"/>
    <w:rsid w:val="5BF9389E"/>
    <w:rsid w:val="63AC4269"/>
    <w:rsid w:val="67674860"/>
    <w:rsid w:val="67FB4D74"/>
    <w:rsid w:val="68BA1F02"/>
    <w:rsid w:val="717708EB"/>
    <w:rsid w:val="7F4951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4F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024F4C"/>
    <w:rPr>
      <w:kern w:val="2"/>
      <w:sz w:val="18"/>
      <w:szCs w:val="18"/>
    </w:rPr>
  </w:style>
  <w:style w:type="character" w:customStyle="1" w:styleId="Char0">
    <w:name w:val="页眉 Char"/>
    <w:link w:val="a4"/>
    <w:rsid w:val="00024F4C"/>
    <w:rPr>
      <w:kern w:val="2"/>
      <w:sz w:val="18"/>
      <w:szCs w:val="18"/>
    </w:rPr>
  </w:style>
  <w:style w:type="paragraph" w:styleId="a5">
    <w:name w:val="Date"/>
    <w:basedOn w:val="a"/>
    <w:next w:val="a"/>
    <w:rsid w:val="00024F4C"/>
    <w:pPr>
      <w:ind w:leftChars="2500" w:left="100"/>
    </w:pPr>
  </w:style>
  <w:style w:type="paragraph" w:styleId="a6">
    <w:name w:val="Balloon Text"/>
    <w:basedOn w:val="a"/>
    <w:semiHidden/>
    <w:rsid w:val="00024F4C"/>
    <w:rPr>
      <w:sz w:val="18"/>
      <w:szCs w:val="18"/>
    </w:rPr>
  </w:style>
  <w:style w:type="paragraph" w:styleId="a4">
    <w:name w:val="header"/>
    <w:basedOn w:val="a"/>
    <w:link w:val="Char0"/>
    <w:rsid w:val="00024F4C"/>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024F4C"/>
    <w:pPr>
      <w:tabs>
        <w:tab w:val="center" w:pos="4153"/>
        <w:tab w:val="right" w:pos="8306"/>
      </w:tabs>
      <w:snapToGrid w:val="0"/>
      <w:jc w:val="left"/>
    </w:pPr>
    <w:rPr>
      <w:sz w:val="18"/>
      <w:szCs w:val="18"/>
    </w:rPr>
  </w:style>
  <w:style w:type="table" w:styleId="a7">
    <w:name w:val="Table Grid"/>
    <w:basedOn w:val="a1"/>
    <w:uiPriority w:val="59"/>
    <w:rsid w:val="00024F4C"/>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Char1"/>
    <w:rsid w:val="009A1A68"/>
    <w:rPr>
      <w:rFonts w:ascii="宋体"/>
      <w:sz w:val="18"/>
      <w:szCs w:val="18"/>
    </w:rPr>
  </w:style>
  <w:style w:type="character" w:customStyle="1" w:styleId="Char1">
    <w:name w:val="文档结构图 Char"/>
    <w:basedOn w:val="a0"/>
    <w:link w:val="a8"/>
    <w:rsid w:val="009A1A68"/>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55000230">
      <w:bodyDiv w:val="1"/>
      <w:marLeft w:val="0"/>
      <w:marRight w:val="0"/>
      <w:marTop w:val="0"/>
      <w:marBottom w:val="0"/>
      <w:divBdr>
        <w:top w:val="none" w:sz="0" w:space="0" w:color="auto"/>
        <w:left w:val="none" w:sz="0" w:space="0" w:color="auto"/>
        <w:bottom w:val="none" w:sz="0" w:space="0" w:color="auto"/>
        <w:right w:val="none" w:sz="0" w:space="0" w:color="auto"/>
      </w:divBdr>
      <w:divsChild>
        <w:div w:id="16719091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2B59B-0A6B-4441-971E-E8859D12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650</Words>
  <Characters>3710</Characters>
  <Application>Microsoft Office Word</Application>
  <DocSecurity>0</DocSecurity>
  <PresentationFormat/>
  <Lines>30</Lines>
  <Paragraphs>8</Paragraphs>
  <Slides>0</Slides>
  <Notes>0</Notes>
  <HiddenSlides>0</HiddenSlides>
  <MMClips>0</MMClips>
  <ScaleCrop>false</ScaleCrop>
  <Company>MC SYSTEM</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夏康平</cp:lastModifiedBy>
  <cp:revision>5</cp:revision>
  <cp:lastPrinted>2020-04-21T01:31:00Z</cp:lastPrinted>
  <dcterms:created xsi:type="dcterms:W3CDTF">2020-04-29T09:32:00Z</dcterms:created>
  <dcterms:modified xsi:type="dcterms:W3CDTF">2020-04-29T09:37:00Z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